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14-2024/2025-DK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17.07.2025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seji dne 14.07.2025,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ŠD Motovilci se izreče kazen odvzem treh točk </w:t>
      </w:r>
      <w:r>
        <w:rPr>
          <w:rFonts w:cs="Calibri" w:cstheme="minorHAnsi"/>
        </w:rPr>
        <w:t>(-3)</w:t>
      </w:r>
      <w:r>
        <w:rPr>
          <w:rFonts w:cs="Calibri" w:cstheme="minorHAnsi"/>
        </w:rPr>
        <w:t xml:space="preserve"> za naslednjo sezono 2025/26.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 w:cstheme="minorHAnsi"/>
        </w:rPr>
        <w:t xml:space="preserve">Predsednik DK je seznanil člana DK s sklepom tekmovalne komisije št. 12/2025 z dne 30.06.2025, iz katerega je razvidno, </w:t>
      </w:r>
      <w:r>
        <w:rPr>
          <w:rFonts w:eastAsia="Times New Roman" w:cs="Times New Roman"/>
          <w:kern w:val="0"/>
          <w:sz w:val="24"/>
          <w:szCs w:val="24"/>
          <w:lang w:eastAsia="sl-SI"/>
        </w:rPr>
        <w:t>da se ekipa ŠD Motovilci iz neupravičenih razlogov ni udeležila tekme na pokalnem turnirju v Šalamencih dne 21.06.2025 proti ekipi ŠD Jauševo. Po opravljeni razpravi je DK ugotovila kršitev 4. odstavka 15. člena disciplinskega pravilnika in odločila, kot izhaja iz izreka tega sklepa.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POUK: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3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4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6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 w:customStyle="1">
    <w:name w:val="Glava in noga"/>
    <w:basedOn w:val="Normal"/>
    <w:qFormat/>
    <w:pPr/>
    <w:rPr/>
  </w:style>
  <w:style w:type="paragraph" w:styleId="Glavainnogauser">
    <w:name w:val="Glava in noga (user)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qFormat/>
    <w:pPr>
      <w:jc w:val="both"/>
    </w:pPr>
    <w:rPr>
      <w:b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LibreOffice/24.8.5.2$Windows_X86_64 LibreOffice_project/fddf2685c70b461e7832239a0162a77216259f22</Application>
  <AppVersion>15.0000</AppVersion>
  <Pages>1</Pages>
  <Words>215</Words>
  <Characters>1083</Characters>
  <CharactersWithSpaces>1282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2025-07-17T08:26:58Z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